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16" w:rsidRPr="009378DF" w:rsidRDefault="00671916" w:rsidP="00671916">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Pr>
          <w:rFonts w:ascii="彩虹粗仿宋" w:eastAsia="彩虹粗仿宋" w:hint="eastAsia"/>
          <w:b/>
          <w:color w:val="000000"/>
          <w:sz w:val="32"/>
          <w:szCs w:val="32"/>
        </w:rPr>
        <w:t>4</w:t>
      </w:r>
    </w:p>
    <w:p w:rsidR="00671916" w:rsidRDefault="00671916" w:rsidP="00671916">
      <w:pPr>
        <w:jc w:val="center"/>
        <w:rPr>
          <w:b/>
          <w:color w:val="000000"/>
          <w:sz w:val="32"/>
          <w:szCs w:val="32"/>
        </w:rPr>
      </w:pPr>
      <w:r w:rsidRPr="009378DF">
        <w:rPr>
          <w:rFonts w:hint="eastAsia"/>
          <w:b/>
          <w:color w:val="000000"/>
          <w:sz w:val="32"/>
          <w:szCs w:val="32"/>
        </w:rPr>
        <w:t>“乾元—满溢”</w:t>
      </w:r>
      <w:r>
        <w:rPr>
          <w:rFonts w:hint="eastAsia"/>
          <w:b/>
          <w:color w:val="000000"/>
          <w:sz w:val="32"/>
          <w:szCs w:val="32"/>
        </w:rPr>
        <w:t>6</w:t>
      </w:r>
      <w:r w:rsidRPr="009378DF">
        <w:rPr>
          <w:rFonts w:hint="eastAsia"/>
          <w:b/>
          <w:color w:val="000000"/>
          <w:sz w:val="32"/>
          <w:szCs w:val="32"/>
        </w:rPr>
        <w:t>0</w:t>
      </w:r>
      <w:r w:rsidRPr="009378DF">
        <w:rPr>
          <w:rFonts w:hint="eastAsia"/>
          <w:b/>
          <w:color w:val="000000"/>
          <w:sz w:val="32"/>
          <w:szCs w:val="32"/>
        </w:rPr>
        <w:t>天开放式资产组合型人民币理财产品</w:t>
      </w:r>
    </w:p>
    <w:p w:rsidR="00671916" w:rsidRPr="00EE774A" w:rsidRDefault="00671916" w:rsidP="00671916">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671916" w:rsidRPr="00EE774A" w:rsidRDefault="00671916" w:rsidP="00671916">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551CA5">
        <w:rPr>
          <w:rFonts w:ascii="宋体" w:hAnsi="宋体" w:hint="eastAsia"/>
          <w:color w:val="000000"/>
          <w:szCs w:val="21"/>
        </w:rPr>
        <w:t>8</w:t>
      </w:r>
      <w:r w:rsidRPr="00EE774A">
        <w:rPr>
          <w:rFonts w:ascii="宋体" w:hAnsi="宋体" w:hint="eastAsia"/>
          <w:color w:val="000000"/>
          <w:szCs w:val="21"/>
        </w:rPr>
        <w:t>年</w:t>
      </w:r>
      <w:r w:rsidR="00D84A31">
        <w:rPr>
          <w:rFonts w:ascii="宋体" w:hAnsi="宋体" w:hint="eastAsia"/>
          <w:color w:val="000000"/>
          <w:szCs w:val="21"/>
        </w:rPr>
        <w:t>4</w:t>
      </w:r>
      <w:r>
        <w:rPr>
          <w:rFonts w:ascii="宋体" w:hAnsi="宋体" w:hint="eastAsia"/>
          <w:color w:val="000000"/>
          <w:szCs w:val="21"/>
        </w:rPr>
        <w:t>月</w:t>
      </w:r>
      <w:r w:rsidR="00D84A31">
        <w:rPr>
          <w:rFonts w:ascii="宋体" w:hAnsi="宋体" w:hint="eastAsia"/>
          <w:color w:val="000000"/>
          <w:szCs w:val="21"/>
        </w:rPr>
        <w:t>30</w:t>
      </w:r>
      <w:r>
        <w:rPr>
          <w:rFonts w:ascii="宋体" w:hAnsi="宋体" w:hint="eastAsia"/>
          <w:color w:val="000000"/>
          <w:szCs w:val="21"/>
        </w:rPr>
        <w:t xml:space="preserve">日    </w:t>
      </w:r>
    </w:p>
    <w:p w:rsidR="00671916" w:rsidRPr="000A55B8" w:rsidRDefault="00671916" w:rsidP="00D84A31">
      <w:pPr>
        <w:ind w:firstLine="420"/>
        <w:rPr>
          <w:rFonts w:ascii="宋体" w:hAnsi="宋体"/>
          <w:color w:val="000000"/>
          <w:sz w:val="28"/>
          <w:szCs w:val="28"/>
        </w:rPr>
      </w:pPr>
      <w:r w:rsidRPr="00AC23D9">
        <w:rPr>
          <w:rFonts w:ascii="宋体" w:hAnsi="宋体" w:hint="eastAsia"/>
          <w:color w:val="000000"/>
          <w:sz w:val="28"/>
          <w:szCs w:val="28"/>
        </w:rPr>
        <w:t>“乾元—满溢”60天开放式资产组合型人民币理财产品（机构版）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D5539A">
        <w:rPr>
          <w:rFonts w:ascii="宋体" w:hAnsi="宋体" w:hint="eastAsia"/>
          <w:color w:val="000000"/>
          <w:sz w:val="28"/>
          <w:szCs w:val="28"/>
        </w:rPr>
        <w:t xml:space="preserve">                                         </w:t>
      </w:r>
      <w:r w:rsidR="00D84A31" w:rsidRPr="00D84A31">
        <w:rPr>
          <w:rFonts w:ascii="宋体" w:hAnsi="宋体" w:hint="eastAsia"/>
          <w:color w:val="000000"/>
          <w:sz w:val="28"/>
          <w:szCs w:val="28"/>
        </w:rPr>
        <w:t>1,946,917,020.00</w:t>
      </w:r>
      <w:r w:rsidRPr="002C4585">
        <w:rPr>
          <w:rFonts w:ascii="宋体" w:hAnsi="宋体" w:hint="eastAsia"/>
          <w:color w:val="000000"/>
          <w:sz w:val="28"/>
          <w:szCs w:val="28"/>
        </w:rPr>
        <w:t>元。</w:t>
      </w:r>
    </w:p>
    <w:p w:rsidR="00671916" w:rsidRPr="00EE774A" w:rsidRDefault="00671916" w:rsidP="00671916">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D5539A" w:rsidRPr="00D5539A" w:rsidRDefault="00D5539A" w:rsidP="00D5539A">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中国建设银行</w:t>
      </w:r>
      <w:r w:rsidRPr="00D5539A">
        <w:rPr>
          <w:rFonts w:asciiTheme="majorEastAsia" w:eastAsiaTheme="majorEastAsia" w:hAnsiTheme="majorEastAsia" w:hint="eastAsia"/>
          <w:sz w:val="28"/>
          <w:szCs w:val="28"/>
        </w:rPr>
        <w:t>于</w:t>
      </w:r>
      <w:r w:rsidR="002C1DC7">
        <w:rPr>
          <w:rFonts w:asciiTheme="majorEastAsia" w:eastAsiaTheme="majorEastAsia" w:hAnsiTheme="majorEastAsia" w:hint="eastAsia"/>
          <w:sz w:val="28"/>
          <w:szCs w:val="28"/>
        </w:rPr>
        <w:t>2018年4月10日</w:t>
      </w:r>
      <w:r w:rsidRPr="00D5539A">
        <w:rPr>
          <w:rFonts w:asciiTheme="majorEastAsia" w:eastAsiaTheme="majorEastAsia" w:hAnsiTheme="majorEastAsia" w:hint="eastAsia"/>
          <w:sz w:val="28"/>
          <w:szCs w:val="28"/>
        </w:rPr>
        <w:t>（含）起，调整“乾元—满溢”60天开放式资产组合型人民币理财产品（机构版）客户</w:t>
      </w:r>
      <w:proofErr w:type="gramStart"/>
      <w:r w:rsidRPr="00D5539A">
        <w:rPr>
          <w:rFonts w:asciiTheme="majorEastAsia" w:eastAsiaTheme="majorEastAsia" w:hAnsiTheme="majorEastAsia" w:hint="eastAsia"/>
          <w:sz w:val="28"/>
          <w:szCs w:val="28"/>
        </w:rPr>
        <w:t>预期年化收益率</w:t>
      </w:r>
      <w:proofErr w:type="gramEnd"/>
      <w:r w:rsidRPr="00D5539A">
        <w:rPr>
          <w:rFonts w:asciiTheme="majorEastAsia" w:eastAsiaTheme="majorEastAsia" w:hAnsiTheme="majorEastAsia" w:hint="eastAsia"/>
          <w:sz w:val="28"/>
          <w:szCs w:val="28"/>
        </w:rPr>
        <w:t>，具体如下表：</w:t>
      </w:r>
    </w:p>
    <w:p w:rsidR="00D5539A" w:rsidRPr="00D5539A" w:rsidRDefault="00D5539A" w:rsidP="00D5539A">
      <w:pPr>
        <w:spacing w:line="560" w:lineRule="exact"/>
        <w:ind w:firstLineChars="200" w:firstLine="560"/>
        <w:rPr>
          <w:rFonts w:asciiTheme="majorEastAsia" w:eastAsiaTheme="majorEastAsia" w:hAnsiTheme="majorEastAsia"/>
          <w:sz w:val="28"/>
          <w:szCs w:val="28"/>
        </w:rPr>
      </w:pPr>
    </w:p>
    <w:tbl>
      <w:tblPr>
        <w:tblW w:w="4148" w:type="pct"/>
        <w:jc w:val="center"/>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2693"/>
        <w:gridCol w:w="2443"/>
      </w:tblGrid>
      <w:tr w:rsidR="00D5539A" w:rsidRPr="00D5539A" w:rsidTr="00D5539A">
        <w:trPr>
          <w:trHeight w:val="20"/>
          <w:tblHeader/>
          <w:jc w:val="center"/>
        </w:trPr>
        <w:tc>
          <w:tcPr>
            <w:tcW w:w="1934" w:type="dxa"/>
            <w:vAlign w:val="center"/>
            <w:hideMark/>
          </w:tcPr>
          <w:p w:rsidR="00D5539A" w:rsidRPr="00D5539A" w:rsidRDefault="00D5539A" w:rsidP="009D3FD2">
            <w:pPr>
              <w:adjustRightInd w:val="0"/>
              <w:snapToGrid w:val="0"/>
              <w:jc w:val="center"/>
              <w:rPr>
                <w:rFonts w:asciiTheme="majorEastAsia" w:eastAsiaTheme="majorEastAsia" w:hAnsiTheme="majorEastAsia" w:cs="宋体"/>
                <w:color w:val="000000"/>
                <w:kern w:val="0"/>
                <w:szCs w:val="28"/>
              </w:rPr>
            </w:pPr>
            <w:r w:rsidRPr="00D5539A">
              <w:rPr>
                <w:rFonts w:asciiTheme="majorEastAsia" w:eastAsiaTheme="majorEastAsia" w:hAnsiTheme="majorEastAsia" w:cs="宋体" w:hint="eastAsia"/>
                <w:color w:val="000000"/>
                <w:kern w:val="0"/>
                <w:szCs w:val="28"/>
              </w:rPr>
              <w:t>档期设置</w:t>
            </w:r>
          </w:p>
        </w:tc>
        <w:tc>
          <w:tcPr>
            <w:tcW w:w="2693" w:type="dxa"/>
            <w:vAlign w:val="center"/>
            <w:hideMark/>
          </w:tcPr>
          <w:p w:rsidR="00D5539A" w:rsidRPr="00D5539A" w:rsidRDefault="00D5539A" w:rsidP="009D3FD2">
            <w:pPr>
              <w:adjustRightInd w:val="0"/>
              <w:snapToGrid w:val="0"/>
              <w:jc w:val="center"/>
              <w:rPr>
                <w:rFonts w:asciiTheme="majorEastAsia" w:eastAsiaTheme="majorEastAsia" w:hAnsiTheme="majorEastAsia" w:cs="宋体"/>
                <w:color w:val="000000"/>
                <w:kern w:val="0"/>
                <w:szCs w:val="28"/>
              </w:rPr>
            </w:pPr>
            <w:r w:rsidRPr="00D5539A">
              <w:rPr>
                <w:rFonts w:asciiTheme="majorEastAsia" w:eastAsiaTheme="majorEastAsia" w:hAnsiTheme="majorEastAsia" w:cs="宋体" w:hint="eastAsia"/>
                <w:color w:val="000000"/>
                <w:kern w:val="0"/>
                <w:szCs w:val="28"/>
              </w:rPr>
              <w:t>客户</w:t>
            </w:r>
            <w:proofErr w:type="gramStart"/>
            <w:r w:rsidRPr="00D5539A">
              <w:rPr>
                <w:rFonts w:asciiTheme="majorEastAsia" w:eastAsiaTheme="majorEastAsia" w:hAnsiTheme="majorEastAsia" w:cs="宋体" w:hint="eastAsia"/>
                <w:color w:val="000000"/>
                <w:kern w:val="0"/>
                <w:szCs w:val="28"/>
              </w:rPr>
              <w:t>预期年化收益率</w:t>
            </w:r>
            <w:proofErr w:type="gramEnd"/>
          </w:p>
          <w:p w:rsidR="00D5539A" w:rsidRPr="00D5539A" w:rsidRDefault="00D5539A" w:rsidP="009D3FD2">
            <w:pPr>
              <w:adjustRightInd w:val="0"/>
              <w:snapToGrid w:val="0"/>
              <w:jc w:val="center"/>
              <w:rPr>
                <w:rFonts w:asciiTheme="majorEastAsia" w:eastAsiaTheme="majorEastAsia" w:hAnsiTheme="majorEastAsia" w:cs="宋体"/>
                <w:color w:val="000000"/>
                <w:kern w:val="0"/>
                <w:szCs w:val="28"/>
              </w:rPr>
            </w:pPr>
            <w:r w:rsidRPr="00D5539A">
              <w:rPr>
                <w:rFonts w:asciiTheme="majorEastAsia" w:eastAsiaTheme="majorEastAsia" w:hAnsiTheme="majorEastAsia" w:cs="宋体" w:hint="eastAsia"/>
                <w:color w:val="000000"/>
                <w:kern w:val="0"/>
                <w:szCs w:val="28"/>
              </w:rPr>
              <w:t>（调整前）</w:t>
            </w:r>
          </w:p>
        </w:tc>
        <w:tc>
          <w:tcPr>
            <w:tcW w:w="2443" w:type="dxa"/>
            <w:hideMark/>
          </w:tcPr>
          <w:p w:rsidR="00D5539A" w:rsidRPr="00D5539A" w:rsidRDefault="00D5539A" w:rsidP="009D3FD2">
            <w:pPr>
              <w:adjustRightInd w:val="0"/>
              <w:snapToGrid w:val="0"/>
              <w:jc w:val="center"/>
              <w:rPr>
                <w:rFonts w:asciiTheme="majorEastAsia" w:eastAsiaTheme="majorEastAsia" w:hAnsiTheme="majorEastAsia" w:cs="宋体"/>
                <w:color w:val="000000"/>
                <w:kern w:val="0"/>
                <w:szCs w:val="28"/>
              </w:rPr>
            </w:pPr>
            <w:r w:rsidRPr="00D5539A">
              <w:rPr>
                <w:rFonts w:asciiTheme="majorEastAsia" w:eastAsiaTheme="majorEastAsia" w:hAnsiTheme="majorEastAsia" w:cs="宋体" w:hint="eastAsia"/>
                <w:color w:val="000000"/>
                <w:kern w:val="0"/>
                <w:szCs w:val="28"/>
              </w:rPr>
              <w:t>客户</w:t>
            </w:r>
            <w:proofErr w:type="gramStart"/>
            <w:r w:rsidRPr="00D5539A">
              <w:rPr>
                <w:rFonts w:asciiTheme="majorEastAsia" w:eastAsiaTheme="majorEastAsia" w:hAnsiTheme="majorEastAsia" w:cs="宋体" w:hint="eastAsia"/>
                <w:color w:val="000000"/>
                <w:kern w:val="0"/>
                <w:szCs w:val="28"/>
              </w:rPr>
              <w:t>预期年化收益率</w:t>
            </w:r>
            <w:proofErr w:type="gramEnd"/>
          </w:p>
          <w:p w:rsidR="00D5539A" w:rsidRPr="00D5539A" w:rsidRDefault="00D5539A" w:rsidP="009D3FD2">
            <w:pPr>
              <w:adjustRightInd w:val="0"/>
              <w:snapToGrid w:val="0"/>
              <w:jc w:val="center"/>
              <w:rPr>
                <w:rFonts w:asciiTheme="majorEastAsia" w:eastAsiaTheme="majorEastAsia" w:hAnsiTheme="majorEastAsia" w:cs="宋体"/>
                <w:color w:val="000000"/>
                <w:kern w:val="0"/>
                <w:szCs w:val="28"/>
              </w:rPr>
            </w:pPr>
            <w:r w:rsidRPr="00D5539A">
              <w:rPr>
                <w:rFonts w:asciiTheme="majorEastAsia" w:eastAsiaTheme="majorEastAsia" w:hAnsiTheme="majorEastAsia" w:cs="宋体" w:hint="eastAsia"/>
                <w:color w:val="000000"/>
                <w:kern w:val="0"/>
                <w:szCs w:val="28"/>
              </w:rPr>
              <w:t>（调整后）</w:t>
            </w:r>
          </w:p>
        </w:tc>
      </w:tr>
      <w:tr w:rsidR="00D5539A" w:rsidRPr="00D5539A" w:rsidTr="00D5539A">
        <w:trPr>
          <w:trHeight w:val="20"/>
          <w:jc w:val="center"/>
        </w:trPr>
        <w:tc>
          <w:tcPr>
            <w:tcW w:w="1934" w:type="dxa"/>
            <w:vAlign w:val="center"/>
            <w:hideMark/>
          </w:tcPr>
          <w:p w:rsidR="00D5539A" w:rsidRPr="00D5539A" w:rsidRDefault="00D5539A" w:rsidP="009D3FD2">
            <w:pPr>
              <w:adjustRightInd w:val="0"/>
              <w:snapToGrid w:val="0"/>
              <w:jc w:val="center"/>
              <w:rPr>
                <w:rFonts w:asciiTheme="majorEastAsia" w:eastAsiaTheme="majorEastAsia" w:hAnsiTheme="majorEastAsia" w:cs="Calibri"/>
                <w:color w:val="000000"/>
                <w:kern w:val="0"/>
                <w:szCs w:val="28"/>
              </w:rPr>
            </w:pPr>
            <w:r w:rsidRPr="00D5539A">
              <w:rPr>
                <w:rFonts w:asciiTheme="majorEastAsia" w:eastAsiaTheme="majorEastAsia" w:hAnsiTheme="majorEastAsia" w:cs="Calibri" w:hint="eastAsia"/>
                <w:color w:val="000000"/>
                <w:kern w:val="0"/>
                <w:szCs w:val="28"/>
              </w:rPr>
              <w:t>60天</w:t>
            </w:r>
          </w:p>
        </w:tc>
        <w:tc>
          <w:tcPr>
            <w:tcW w:w="2693" w:type="dxa"/>
            <w:hideMark/>
          </w:tcPr>
          <w:p w:rsidR="00D5539A" w:rsidRPr="00D5539A" w:rsidRDefault="002C1DC7" w:rsidP="009D3FD2">
            <w:pPr>
              <w:adjustRightInd w:val="0"/>
              <w:snapToGrid w:val="0"/>
              <w:jc w:val="center"/>
              <w:rPr>
                <w:rFonts w:asciiTheme="majorEastAsia" w:eastAsiaTheme="majorEastAsia" w:hAnsiTheme="majorEastAsia" w:cs="宋体"/>
                <w:color w:val="000000"/>
                <w:kern w:val="0"/>
                <w:szCs w:val="28"/>
              </w:rPr>
            </w:pPr>
            <w:r>
              <w:rPr>
                <w:rFonts w:asciiTheme="majorEastAsia" w:eastAsiaTheme="majorEastAsia" w:hAnsiTheme="majorEastAsia" w:cs="宋体" w:hint="eastAsia"/>
                <w:color w:val="000000"/>
                <w:kern w:val="0"/>
                <w:szCs w:val="28"/>
              </w:rPr>
              <w:t>4.6</w:t>
            </w:r>
            <w:r w:rsidR="00D5539A" w:rsidRPr="00D5539A">
              <w:rPr>
                <w:rFonts w:asciiTheme="majorEastAsia" w:eastAsiaTheme="majorEastAsia" w:hAnsiTheme="majorEastAsia" w:cs="宋体" w:hint="eastAsia"/>
                <w:color w:val="000000"/>
                <w:kern w:val="0"/>
                <w:szCs w:val="28"/>
              </w:rPr>
              <w:t>5%</w:t>
            </w:r>
          </w:p>
        </w:tc>
        <w:tc>
          <w:tcPr>
            <w:tcW w:w="2443" w:type="dxa"/>
            <w:hideMark/>
          </w:tcPr>
          <w:p w:rsidR="00D5539A" w:rsidRPr="00D5539A" w:rsidRDefault="002C1DC7" w:rsidP="009D3FD2">
            <w:pPr>
              <w:adjustRightInd w:val="0"/>
              <w:snapToGrid w:val="0"/>
              <w:jc w:val="center"/>
              <w:rPr>
                <w:rFonts w:asciiTheme="majorEastAsia" w:eastAsiaTheme="majorEastAsia" w:hAnsiTheme="majorEastAsia" w:cs="宋体"/>
                <w:color w:val="000000"/>
                <w:kern w:val="0"/>
                <w:szCs w:val="28"/>
              </w:rPr>
            </w:pPr>
            <w:r>
              <w:rPr>
                <w:rFonts w:asciiTheme="majorEastAsia" w:eastAsiaTheme="majorEastAsia" w:hAnsiTheme="majorEastAsia" w:cs="宋体" w:hint="eastAsia"/>
                <w:color w:val="000000"/>
                <w:kern w:val="0"/>
                <w:szCs w:val="28"/>
              </w:rPr>
              <w:t>4.5</w:t>
            </w:r>
            <w:r w:rsidR="00D5539A" w:rsidRPr="00D5539A">
              <w:rPr>
                <w:rFonts w:asciiTheme="majorEastAsia" w:eastAsiaTheme="majorEastAsia" w:hAnsiTheme="majorEastAsia" w:cs="宋体" w:hint="eastAsia"/>
                <w:color w:val="000000"/>
                <w:kern w:val="0"/>
                <w:szCs w:val="28"/>
              </w:rPr>
              <w:t>5%</w:t>
            </w:r>
          </w:p>
        </w:tc>
      </w:tr>
    </w:tbl>
    <w:p w:rsidR="00D5539A" w:rsidRPr="00D5539A" w:rsidRDefault="00D5539A" w:rsidP="00D5539A">
      <w:pPr>
        <w:spacing w:line="560" w:lineRule="exact"/>
        <w:rPr>
          <w:rFonts w:asciiTheme="majorEastAsia" w:eastAsiaTheme="majorEastAsia" w:hAnsiTheme="majorEastAsia"/>
          <w:color w:val="000000"/>
          <w:sz w:val="28"/>
          <w:szCs w:val="28"/>
        </w:rPr>
      </w:pPr>
    </w:p>
    <w:p w:rsidR="00D5539A" w:rsidRPr="00D5539A" w:rsidRDefault="00D5539A" w:rsidP="00D5539A">
      <w:pPr>
        <w:spacing w:line="560" w:lineRule="exact"/>
        <w:ind w:firstLineChars="200" w:firstLine="560"/>
        <w:rPr>
          <w:rFonts w:asciiTheme="majorEastAsia" w:eastAsiaTheme="majorEastAsia" w:hAnsiTheme="majorEastAsia"/>
          <w:color w:val="000000"/>
          <w:sz w:val="28"/>
          <w:szCs w:val="28"/>
        </w:rPr>
      </w:pPr>
      <w:r w:rsidRPr="00D5539A">
        <w:rPr>
          <w:rFonts w:asciiTheme="majorEastAsia" w:eastAsiaTheme="majorEastAsia" w:hAnsiTheme="majorEastAsia" w:hint="eastAsia"/>
          <w:color w:val="000000"/>
          <w:sz w:val="28"/>
          <w:szCs w:val="28"/>
        </w:rPr>
        <w:t>新客户</w:t>
      </w:r>
      <w:proofErr w:type="gramStart"/>
      <w:r w:rsidRPr="00D5539A">
        <w:rPr>
          <w:rFonts w:asciiTheme="majorEastAsia" w:eastAsiaTheme="majorEastAsia" w:hAnsiTheme="majorEastAsia" w:hint="eastAsia"/>
          <w:color w:val="000000"/>
          <w:sz w:val="28"/>
          <w:szCs w:val="28"/>
        </w:rPr>
        <w:t>预期年化收益率</w:t>
      </w:r>
      <w:proofErr w:type="gramEnd"/>
      <w:r w:rsidRPr="00D5539A">
        <w:rPr>
          <w:rFonts w:asciiTheme="majorEastAsia" w:eastAsiaTheme="majorEastAsia" w:hAnsiTheme="majorEastAsia" w:hint="eastAsia"/>
          <w:color w:val="000000"/>
          <w:sz w:val="28"/>
          <w:szCs w:val="28"/>
        </w:rPr>
        <w:t>于</w:t>
      </w:r>
      <w:r w:rsidR="002C1DC7">
        <w:rPr>
          <w:rFonts w:asciiTheme="majorEastAsia" w:eastAsiaTheme="majorEastAsia" w:hAnsiTheme="majorEastAsia" w:hint="eastAsia"/>
          <w:sz w:val="28"/>
          <w:szCs w:val="28"/>
        </w:rPr>
        <w:t>2018年4月10日</w:t>
      </w:r>
      <w:r w:rsidRPr="00D5539A">
        <w:rPr>
          <w:rFonts w:asciiTheme="majorEastAsia" w:eastAsiaTheme="majorEastAsia" w:hAnsiTheme="majorEastAsia" w:hint="eastAsia"/>
          <w:color w:val="000000"/>
          <w:sz w:val="28"/>
          <w:szCs w:val="28"/>
        </w:rPr>
        <w:t>（含）起执行。对于</w:t>
      </w:r>
      <w:r w:rsidR="002C1DC7">
        <w:rPr>
          <w:rFonts w:asciiTheme="majorEastAsia" w:eastAsiaTheme="majorEastAsia" w:hAnsiTheme="majorEastAsia" w:hint="eastAsia"/>
          <w:sz w:val="28"/>
          <w:szCs w:val="28"/>
        </w:rPr>
        <w:t>2018年4月10日</w:t>
      </w:r>
      <w:r w:rsidRPr="00D5539A">
        <w:rPr>
          <w:rFonts w:asciiTheme="majorEastAsia" w:eastAsiaTheme="majorEastAsia" w:hAnsiTheme="majorEastAsia" w:hint="eastAsia"/>
          <w:sz w:val="28"/>
          <w:szCs w:val="28"/>
        </w:rPr>
        <w:t>（不含）</w:t>
      </w:r>
      <w:r w:rsidRPr="00D5539A">
        <w:rPr>
          <w:rFonts w:asciiTheme="majorEastAsia" w:eastAsiaTheme="majorEastAsia" w:hAnsiTheme="majorEastAsia" w:hint="eastAsia"/>
          <w:color w:val="000000"/>
          <w:sz w:val="28"/>
          <w:szCs w:val="28"/>
        </w:rPr>
        <w:t>前已经购买成功且未赎回的存量投资本金，其中封闭期内的份额仍按照购买确认日当日的客户</w:t>
      </w:r>
      <w:proofErr w:type="gramStart"/>
      <w:r w:rsidRPr="00D5539A">
        <w:rPr>
          <w:rFonts w:asciiTheme="majorEastAsia" w:eastAsiaTheme="majorEastAsia" w:hAnsiTheme="majorEastAsia" w:hint="eastAsia"/>
          <w:color w:val="000000"/>
          <w:sz w:val="28"/>
          <w:szCs w:val="28"/>
        </w:rPr>
        <w:t>预期年化收益率</w:t>
      </w:r>
      <w:proofErr w:type="gramEnd"/>
      <w:r w:rsidRPr="00D5539A">
        <w:rPr>
          <w:rFonts w:asciiTheme="majorEastAsia" w:eastAsiaTheme="majorEastAsia" w:hAnsiTheme="majorEastAsia" w:hint="eastAsia"/>
          <w:color w:val="000000"/>
          <w:sz w:val="28"/>
          <w:szCs w:val="28"/>
        </w:rPr>
        <w:t>计算投资收益，非封闭期内的份额从</w:t>
      </w:r>
      <w:r w:rsidR="002C1DC7">
        <w:rPr>
          <w:rFonts w:asciiTheme="majorEastAsia" w:eastAsiaTheme="majorEastAsia" w:hAnsiTheme="majorEastAsia" w:hint="eastAsia"/>
          <w:sz w:val="28"/>
          <w:szCs w:val="28"/>
        </w:rPr>
        <w:t>2018年4月10日</w:t>
      </w:r>
      <w:r w:rsidRPr="00D5539A">
        <w:rPr>
          <w:rFonts w:asciiTheme="majorEastAsia" w:eastAsiaTheme="majorEastAsia" w:hAnsiTheme="majorEastAsia" w:hint="eastAsia"/>
          <w:color w:val="000000"/>
          <w:sz w:val="28"/>
          <w:szCs w:val="28"/>
        </w:rPr>
        <w:t>（含）起按调整后的</w:t>
      </w:r>
      <w:proofErr w:type="gramStart"/>
      <w:r w:rsidRPr="00D5539A">
        <w:rPr>
          <w:rFonts w:asciiTheme="majorEastAsia" w:eastAsiaTheme="majorEastAsia" w:hAnsiTheme="majorEastAsia" w:hint="eastAsia"/>
          <w:color w:val="000000"/>
          <w:sz w:val="28"/>
          <w:szCs w:val="28"/>
        </w:rPr>
        <w:t>预期年化收益率</w:t>
      </w:r>
      <w:proofErr w:type="gramEnd"/>
      <w:r w:rsidRPr="00D5539A">
        <w:rPr>
          <w:rFonts w:asciiTheme="majorEastAsia" w:eastAsiaTheme="majorEastAsia" w:hAnsiTheme="majorEastAsia" w:hint="eastAsia"/>
          <w:color w:val="000000"/>
          <w:sz w:val="28"/>
          <w:szCs w:val="28"/>
        </w:rPr>
        <w:t>计算投资收益。</w:t>
      </w:r>
      <w:r w:rsidR="002C1DC7">
        <w:rPr>
          <w:rFonts w:asciiTheme="majorEastAsia" w:eastAsiaTheme="majorEastAsia" w:hAnsiTheme="majorEastAsia" w:hint="eastAsia"/>
          <w:sz w:val="28"/>
          <w:szCs w:val="28"/>
        </w:rPr>
        <w:t>2018年4月10日</w:t>
      </w:r>
      <w:r w:rsidRPr="00D5539A">
        <w:rPr>
          <w:rFonts w:asciiTheme="majorEastAsia" w:eastAsiaTheme="majorEastAsia" w:hAnsiTheme="majorEastAsia" w:hint="eastAsia"/>
          <w:color w:val="000000"/>
          <w:sz w:val="28"/>
          <w:szCs w:val="28"/>
        </w:rPr>
        <w:t>（含）后购买的部分自动执行调整后的客户</w:t>
      </w:r>
      <w:proofErr w:type="gramStart"/>
      <w:r w:rsidRPr="00D5539A">
        <w:rPr>
          <w:rFonts w:asciiTheme="majorEastAsia" w:eastAsiaTheme="majorEastAsia" w:hAnsiTheme="majorEastAsia" w:hint="eastAsia"/>
          <w:color w:val="000000"/>
          <w:sz w:val="28"/>
          <w:szCs w:val="28"/>
        </w:rPr>
        <w:t>预期年化收益率</w:t>
      </w:r>
      <w:proofErr w:type="gramEnd"/>
      <w:r w:rsidRPr="00D5539A">
        <w:rPr>
          <w:rFonts w:asciiTheme="majorEastAsia" w:eastAsiaTheme="majorEastAsia" w:hAnsiTheme="majorEastAsia" w:hint="eastAsia"/>
          <w:color w:val="000000"/>
          <w:sz w:val="28"/>
          <w:szCs w:val="28"/>
        </w:rPr>
        <w:t>。但前述情形下的最终投资收益均以我行最终支付的实际年化收益率为准。</w:t>
      </w:r>
    </w:p>
    <w:p w:rsidR="00671916" w:rsidRPr="00EE774A" w:rsidRDefault="00671916" w:rsidP="00671916">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二、产品投资组合详细情况</w:t>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671916" w:rsidRPr="00EE774A" w:rsidRDefault="002C1DC7" w:rsidP="00671916">
      <w:pPr>
        <w:jc w:val="center"/>
        <w:rPr>
          <w:rFonts w:ascii="宋体" w:hAnsi="宋体"/>
          <w:color w:val="000000"/>
          <w:sz w:val="28"/>
          <w:szCs w:val="28"/>
        </w:rPr>
      </w:pPr>
      <w:r>
        <w:rPr>
          <w:noProof/>
        </w:rPr>
        <w:drawing>
          <wp:inline distT="0" distB="0" distL="0" distR="0" wp14:anchorId="0E98F92D" wp14:editId="002F871F">
            <wp:extent cx="2895600" cy="1581150"/>
            <wp:effectExtent l="1905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71916" w:rsidRPr="00EE774A" w:rsidRDefault="00671916" w:rsidP="00671916">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671916" w:rsidRPr="00EE774A" w:rsidRDefault="002C1DC7" w:rsidP="00671916">
      <w:pPr>
        <w:jc w:val="center"/>
        <w:rPr>
          <w:rFonts w:ascii="宋体" w:hAnsi="宋体"/>
          <w:color w:val="000000"/>
          <w:sz w:val="28"/>
          <w:szCs w:val="28"/>
        </w:rPr>
      </w:pPr>
      <w:r>
        <w:rPr>
          <w:noProof/>
        </w:rPr>
        <w:drawing>
          <wp:inline distT="0" distB="0" distL="0" distR="0" wp14:anchorId="019BBBF4" wp14:editId="0FCDDBC5">
            <wp:extent cx="3028950" cy="173355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FF2407">
        <w:rPr>
          <w:rFonts w:ascii="宋体" w:hAnsi="宋体" w:hint="eastAsia"/>
          <w:b/>
          <w:color w:val="000000"/>
          <w:sz w:val="28"/>
          <w:szCs w:val="28"/>
        </w:rPr>
        <w:t>融资类资产的行业占</w:t>
      </w:r>
      <w:proofErr w:type="gramStart"/>
      <w:r w:rsidRPr="00FF2407">
        <w:rPr>
          <w:rFonts w:ascii="宋体" w:hAnsi="宋体" w:hint="eastAsia"/>
          <w:b/>
          <w:color w:val="000000"/>
          <w:sz w:val="28"/>
          <w:szCs w:val="28"/>
        </w:rPr>
        <w:t>比构成</w:t>
      </w:r>
      <w:proofErr w:type="gramEnd"/>
      <w:r w:rsidRPr="00FF2407">
        <w:rPr>
          <w:rFonts w:ascii="宋体" w:hAnsi="宋体" w:hint="eastAsia"/>
          <w:b/>
          <w:color w:val="000000"/>
          <w:sz w:val="28"/>
          <w:szCs w:val="28"/>
        </w:rPr>
        <w:t>及当月增减变化情况</w:t>
      </w:r>
    </w:p>
    <w:p w:rsidR="00671916" w:rsidRPr="005622F6" w:rsidRDefault="002C1DC7" w:rsidP="00671916">
      <w:pPr>
        <w:ind w:right="-58"/>
        <w:jc w:val="center"/>
        <w:rPr>
          <w:rFonts w:ascii="宋体" w:hAnsi="宋体"/>
          <w:color w:val="000000"/>
          <w:sz w:val="28"/>
          <w:szCs w:val="28"/>
        </w:rPr>
      </w:pPr>
      <w:r>
        <w:rPr>
          <w:noProof/>
        </w:rPr>
        <w:drawing>
          <wp:inline distT="0" distB="0" distL="0" distR="0" wp14:anchorId="40056FB0" wp14:editId="786C1074">
            <wp:extent cx="6219825" cy="17145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1916" w:rsidRPr="00EE774A" w:rsidRDefault="00671916" w:rsidP="00671916">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671916" w:rsidRPr="00EE774A" w:rsidRDefault="00671916" w:rsidP="00671916">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lastRenderedPageBreak/>
        <w:t>中国建设银行</w:t>
      </w:r>
    </w:p>
    <w:p w:rsidR="001C5F6A" w:rsidRDefault="00671916" w:rsidP="00671916">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1C5F6A">
        <w:rPr>
          <w:rFonts w:ascii="宋体" w:hAnsi="宋体" w:hint="eastAsia"/>
          <w:color w:val="000000"/>
          <w:sz w:val="28"/>
          <w:szCs w:val="28"/>
        </w:rPr>
        <w:t>8</w:t>
      </w:r>
      <w:r>
        <w:rPr>
          <w:rFonts w:ascii="宋体" w:hAnsi="宋体" w:hint="eastAsia"/>
          <w:color w:val="000000"/>
          <w:sz w:val="28"/>
          <w:szCs w:val="28"/>
        </w:rPr>
        <w:t>年</w:t>
      </w:r>
      <w:r w:rsidR="002C1DC7">
        <w:rPr>
          <w:rFonts w:ascii="宋体" w:hAnsi="宋体" w:hint="eastAsia"/>
          <w:color w:val="000000"/>
          <w:sz w:val="28"/>
          <w:szCs w:val="28"/>
        </w:rPr>
        <w:t>5</w:t>
      </w:r>
      <w:r>
        <w:rPr>
          <w:rFonts w:ascii="宋体" w:hAnsi="宋体" w:hint="eastAsia"/>
          <w:color w:val="000000"/>
          <w:sz w:val="28"/>
          <w:szCs w:val="28"/>
        </w:rPr>
        <w:t>月</w:t>
      </w:r>
      <w:r w:rsidR="002C1DC7">
        <w:rPr>
          <w:rFonts w:ascii="宋体" w:hAnsi="宋体" w:hint="eastAsia"/>
          <w:color w:val="000000"/>
          <w:sz w:val="28"/>
          <w:szCs w:val="28"/>
        </w:rPr>
        <w:t>4</w:t>
      </w:r>
      <w:r>
        <w:rPr>
          <w:rFonts w:ascii="宋体" w:hAnsi="宋体" w:hint="eastAsia"/>
          <w:color w:val="000000"/>
          <w:sz w:val="28"/>
          <w:szCs w:val="28"/>
        </w:rPr>
        <w:t>日</w:t>
      </w:r>
    </w:p>
    <w:p w:rsidR="001C5F6A" w:rsidRDefault="001C5F6A">
      <w:pPr>
        <w:widowControl/>
        <w:jc w:val="left"/>
        <w:rPr>
          <w:rFonts w:ascii="宋体" w:hAnsi="宋体"/>
          <w:color w:val="000000"/>
          <w:sz w:val="28"/>
          <w:szCs w:val="28"/>
        </w:rPr>
      </w:pPr>
      <w:bookmarkStart w:id="0" w:name="_GoBack"/>
      <w:bookmarkEnd w:id="0"/>
    </w:p>
    <w:sectPr w:rsidR="001C5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43" w:rsidRDefault="00CF5043" w:rsidP="00671916">
      <w:r>
        <w:separator/>
      </w:r>
    </w:p>
  </w:endnote>
  <w:endnote w:type="continuationSeparator" w:id="0">
    <w:p w:rsidR="00CF5043" w:rsidRDefault="00CF5043" w:rsidP="0067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43" w:rsidRDefault="00CF5043" w:rsidP="00671916">
      <w:r>
        <w:separator/>
      </w:r>
    </w:p>
  </w:footnote>
  <w:footnote w:type="continuationSeparator" w:id="0">
    <w:p w:rsidR="00CF5043" w:rsidRDefault="00CF5043" w:rsidP="0067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6D"/>
    <w:rsid w:val="0005175F"/>
    <w:rsid w:val="000A3275"/>
    <w:rsid w:val="000A41BE"/>
    <w:rsid w:val="000E6AD2"/>
    <w:rsid w:val="00153C80"/>
    <w:rsid w:val="001C5F6A"/>
    <w:rsid w:val="0027764F"/>
    <w:rsid w:val="002C1DC7"/>
    <w:rsid w:val="002C4585"/>
    <w:rsid w:val="00356E1F"/>
    <w:rsid w:val="00380EEE"/>
    <w:rsid w:val="003B2DEA"/>
    <w:rsid w:val="00411F82"/>
    <w:rsid w:val="004776DB"/>
    <w:rsid w:val="004C51D3"/>
    <w:rsid w:val="00546090"/>
    <w:rsid w:val="00551CA5"/>
    <w:rsid w:val="00590A79"/>
    <w:rsid w:val="005D0FC1"/>
    <w:rsid w:val="006004AF"/>
    <w:rsid w:val="00657FE0"/>
    <w:rsid w:val="00671916"/>
    <w:rsid w:val="006F253F"/>
    <w:rsid w:val="00714A59"/>
    <w:rsid w:val="007A1653"/>
    <w:rsid w:val="008379DB"/>
    <w:rsid w:val="00863E8E"/>
    <w:rsid w:val="008742FF"/>
    <w:rsid w:val="00884B34"/>
    <w:rsid w:val="00886729"/>
    <w:rsid w:val="008F4728"/>
    <w:rsid w:val="00946EAE"/>
    <w:rsid w:val="009F79EA"/>
    <w:rsid w:val="00A66F45"/>
    <w:rsid w:val="00AB2BFC"/>
    <w:rsid w:val="00AE02C6"/>
    <w:rsid w:val="00B201C2"/>
    <w:rsid w:val="00B549E1"/>
    <w:rsid w:val="00B54B3E"/>
    <w:rsid w:val="00B747C4"/>
    <w:rsid w:val="00BC7EE7"/>
    <w:rsid w:val="00C04B5D"/>
    <w:rsid w:val="00C56AEE"/>
    <w:rsid w:val="00C608AD"/>
    <w:rsid w:val="00CB6672"/>
    <w:rsid w:val="00CF5043"/>
    <w:rsid w:val="00D5539A"/>
    <w:rsid w:val="00D84A31"/>
    <w:rsid w:val="00E1168D"/>
    <w:rsid w:val="00E1666D"/>
    <w:rsid w:val="00E368F2"/>
    <w:rsid w:val="00ED5682"/>
    <w:rsid w:val="00FA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916"/>
    <w:rPr>
      <w:sz w:val="18"/>
      <w:szCs w:val="18"/>
    </w:rPr>
  </w:style>
  <w:style w:type="paragraph" w:styleId="a4">
    <w:name w:val="footer"/>
    <w:basedOn w:val="a"/>
    <w:link w:val="Char0"/>
    <w:uiPriority w:val="99"/>
    <w:unhideWhenUsed/>
    <w:rsid w:val="0067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916"/>
    <w:rPr>
      <w:sz w:val="18"/>
      <w:szCs w:val="18"/>
    </w:rPr>
  </w:style>
  <w:style w:type="paragraph" w:styleId="a5">
    <w:name w:val="Balloon Text"/>
    <w:basedOn w:val="a"/>
    <w:link w:val="Char1"/>
    <w:uiPriority w:val="99"/>
    <w:semiHidden/>
    <w:unhideWhenUsed/>
    <w:rsid w:val="00671916"/>
    <w:rPr>
      <w:sz w:val="18"/>
      <w:szCs w:val="18"/>
    </w:rPr>
  </w:style>
  <w:style w:type="character" w:customStyle="1" w:styleId="Char1">
    <w:name w:val="批注框文本 Char"/>
    <w:basedOn w:val="a0"/>
    <w:link w:val="a5"/>
    <w:uiPriority w:val="99"/>
    <w:semiHidden/>
    <w:rsid w:val="00671916"/>
    <w:rPr>
      <w:rFonts w:ascii="Calibri" w:eastAsia="宋体" w:hAnsi="Calibri" w:cs="Times New Roman"/>
      <w:sz w:val="18"/>
      <w:szCs w:val="18"/>
    </w:rPr>
  </w:style>
  <w:style w:type="paragraph" w:styleId="a6">
    <w:name w:val="Normal (Web)"/>
    <w:basedOn w:val="a"/>
    <w:uiPriority w:val="99"/>
    <w:unhideWhenUsed/>
    <w:rsid w:val="00551CA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551C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916"/>
    <w:rPr>
      <w:sz w:val="18"/>
      <w:szCs w:val="18"/>
    </w:rPr>
  </w:style>
  <w:style w:type="paragraph" w:styleId="a4">
    <w:name w:val="footer"/>
    <w:basedOn w:val="a"/>
    <w:link w:val="Char0"/>
    <w:uiPriority w:val="99"/>
    <w:unhideWhenUsed/>
    <w:rsid w:val="0067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916"/>
    <w:rPr>
      <w:sz w:val="18"/>
      <w:szCs w:val="18"/>
    </w:rPr>
  </w:style>
  <w:style w:type="paragraph" w:styleId="a5">
    <w:name w:val="Balloon Text"/>
    <w:basedOn w:val="a"/>
    <w:link w:val="Char1"/>
    <w:uiPriority w:val="99"/>
    <w:semiHidden/>
    <w:unhideWhenUsed/>
    <w:rsid w:val="00671916"/>
    <w:rPr>
      <w:sz w:val="18"/>
      <w:szCs w:val="18"/>
    </w:rPr>
  </w:style>
  <w:style w:type="character" w:customStyle="1" w:styleId="Char1">
    <w:name w:val="批注框文本 Char"/>
    <w:basedOn w:val="a0"/>
    <w:link w:val="a5"/>
    <w:uiPriority w:val="99"/>
    <w:semiHidden/>
    <w:rsid w:val="00671916"/>
    <w:rPr>
      <w:rFonts w:ascii="Calibri" w:eastAsia="宋体" w:hAnsi="Calibri" w:cs="Times New Roman"/>
      <w:sz w:val="18"/>
      <w:szCs w:val="18"/>
    </w:rPr>
  </w:style>
  <w:style w:type="paragraph" w:styleId="a6">
    <w:name w:val="Normal (Web)"/>
    <w:basedOn w:val="a"/>
    <w:uiPriority w:val="99"/>
    <w:unhideWhenUsed/>
    <w:rsid w:val="00551CA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551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0438">
      <w:bodyDiv w:val="1"/>
      <w:marLeft w:val="0"/>
      <w:marRight w:val="0"/>
      <w:marTop w:val="0"/>
      <w:marBottom w:val="0"/>
      <w:divBdr>
        <w:top w:val="none" w:sz="0" w:space="0" w:color="auto"/>
        <w:left w:val="none" w:sz="0" w:space="0" w:color="auto"/>
        <w:bottom w:val="none" w:sz="0" w:space="0" w:color="auto"/>
        <w:right w:val="none" w:sz="0" w:space="0" w:color="auto"/>
      </w:divBdr>
    </w:div>
    <w:div w:id="180314609">
      <w:bodyDiv w:val="1"/>
      <w:marLeft w:val="0"/>
      <w:marRight w:val="0"/>
      <w:marTop w:val="0"/>
      <w:marBottom w:val="0"/>
      <w:divBdr>
        <w:top w:val="none" w:sz="0" w:space="0" w:color="auto"/>
        <w:left w:val="none" w:sz="0" w:space="0" w:color="auto"/>
        <w:bottom w:val="none" w:sz="0" w:space="0" w:color="auto"/>
        <w:right w:val="none" w:sz="0" w:space="0" w:color="auto"/>
      </w:divBdr>
    </w:div>
    <w:div w:id="212161405">
      <w:bodyDiv w:val="1"/>
      <w:marLeft w:val="0"/>
      <w:marRight w:val="0"/>
      <w:marTop w:val="0"/>
      <w:marBottom w:val="0"/>
      <w:divBdr>
        <w:top w:val="none" w:sz="0" w:space="0" w:color="auto"/>
        <w:left w:val="none" w:sz="0" w:space="0" w:color="auto"/>
        <w:bottom w:val="none" w:sz="0" w:space="0" w:color="auto"/>
        <w:right w:val="none" w:sz="0" w:space="0" w:color="auto"/>
      </w:divBdr>
    </w:div>
    <w:div w:id="291716756">
      <w:bodyDiv w:val="1"/>
      <w:marLeft w:val="0"/>
      <w:marRight w:val="0"/>
      <w:marTop w:val="0"/>
      <w:marBottom w:val="0"/>
      <w:divBdr>
        <w:top w:val="none" w:sz="0" w:space="0" w:color="auto"/>
        <w:left w:val="none" w:sz="0" w:space="0" w:color="auto"/>
        <w:bottom w:val="none" w:sz="0" w:space="0" w:color="auto"/>
        <w:right w:val="none" w:sz="0" w:space="0" w:color="auto"/>
      </w:divBdr>
    </w:div>
    <w:div w:id="371659585">
      <w:bodyDiv w:val="1"/>
      <w:marLeft w:val="0"/>
      <w:marRight w:val="0"/>
      <w:marTop w:val="0"/>
      <w:marBottom w:val="0"/>
      <w:divBdr>
        <w:top w:val="none" w:sz="0" w:space="0" w:color="auto"/>
        <w:left w:val="none" w:sz="0" w:space="0" w:color="auto"/>
        <w:bottom w:val="none" w:sz="0" w:space="0" w:color="auto"/>
        <w:right w:val="none" w:sz="0" w:space="0" w:color="auto"/>
      </w:divBdr>
    </w:div>
    <w:div w:id="383409114">
      <w:bodyDiv w:val="1"/>
      <w:marLeft w:val="0"/>
      <w:marRight w:val="0"/>
      <w:marTop w:val="0"/>
      <w:marBottom w:val="0"/>
      <w:divBdr>
        <w:top w:val="none" w:sz="0" w:space="0" w:color="auto"/>
        <w:left w:val="none" w:sz="0" w:space="0" w:color="auto"/>
        <w:bottom w:val="none" w:sz="0" w:space="0" w:color="auto"/>
        <w:right w:val="none" w:sz="0" w:space="0" w:color="auto"/>
      </w:divBdr>
      <w:divsChild>
        <w:div w:id="1818183055">
          <w:marLeft w:val="0"/>
          <w:marRight w:val="0"/>
          <w:marTop w:val="600"/>
          <w:marBottom w:val="900"/>
          <w:divBdr>
            <w:top w:val="none" w:sz="0" w:space="0" w:color="auto"/>
            <w:left w:val="none" w:sz="0" w:space="0" w:color="auto"/>
            <w:bottom w:val="none" w:sz="0" w:space="0" w:color="auto"/>
            <w:right w:val="none" w:sz="0" w:space="0" w:color="auto"/>
          </w:divBdr>
          <w:divsChild>
            <w:div w:id="1232428041">
              <w:marLeft w:val="0"/>
              <w:marRight w:val="0"/>
              <w:marTop w:val="0"/>
              <w:marBottom w:val="0"/>
              <w:divBdr>
                <w:top w:val="none" w:sz="0" w:space="0" w:color="auto"/>
                <w:left w:val="none" w:sz="0" w:space="0" w:color="auto"/>
                <w:bottom w:val="none" w:sz="0" w:space="0" w:color="auto"/>
                <w:right w:val="single" w:sz="6" w:space="30" w:color="EEEEEE"/>
              </w:divBdr>
              <w:divsChild>
                <w:div w:id="21260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5376">
      <w:bodyDiv w:val="1"/>
      <w:marLeft w:val="0"/>
      <w:marRight w:val="0"/>
      <w:marTop w:val="0"/>
      <w:marBottom w:val="0"/>
      <w:divBdr>
        <w:top w:val="none" w:sz="0" w:space="0" w:color="auto"/>
        <w:left w:val="none" w:sz="0" w:space="0" w:color="auto"/>
        <w:bottom w:val="none" w:sz="0" w:space="0" w:color="auto"/>
        <w:right w:val="none" w:sz="0" w:space="0" w:color="auto"/>
      </w:divBdr>
    </w:div>
    <w:div w:id="751394974">
      <w:bodyDiv w:val="1"/>
      <w:marLeft w:val="0"/>
      <w:marRight w:val="0"/>
      <w:marTop w:val="0"/>
      <w:marBottom w:val="0"/>
      <w:divBdr>
        <w:top w:val="none" w:sz="0" w:space="0" w:color="auto"/>
        <w:left w:val="none" w:sz="0" w:space="0" w:color="auto"/>
        <w:bottom w:val="none" w:sz="0" w:space="0" w:color="auto"/>
        <w:right w:val="none" w:sz="0" w:space="0" w:color="auto"/>
      </w:divBdr>
    </w:div>
    <w:div w:id="815486699">
      <w:bodyDiv w:val="1"/>
      <w:marLeft w:val="0"/>
      <w:marRight w:val="0"/>
      <w:marTop w:val="0"/>
      <w:marBottom w:val="0"/>
      <w:divBdr>
        <w:top w:val="none" w:sz="0" w:space="0" w:color="auto"/>
        <w:left w:val="none" w:sz="0" w:space="0" w:color="auto"/>
        <w:bottom w:val="none" w:sz="0" w:space="0" w:color="auto"/>
        <w:right w:val="none" w:sz="0" w:space="0" w:color="auto"/>
      </w:divBdr>
    </w:div>
    <w:div w:id="862474495">
      <w:bodyDiv w:val="1"/>
      <w:marLeft w:val="0"/>
      <w:marRight w:val="0"/>
      <w:marTop w:val="0"/>
      <w:marBottom w:val="0"/>
      <w:divBdr>
        <w:top w:val="none" w:sz="0" w:space="0" w:color="auto"/>
        <w:left w:val="none" w:sz="0" w:space="0" w:color="auto"/>
        <w:bottom w:val="none" w:sz="0" w:space="0" w:color="auto"/>
        <w:right w:val="none" w:sz="0" w:space="0" w:color="auto"/>
      </w:divBdr>
    </w:div>
    <w:div w:id="917711187">
      <w:bodyDiv w:val="1"/>
      <w:marLeft w:val="0"/>
      <w:marRight w:val="0"/>
      <w:marTop w:val="0"/>
      <w:marBottom w:val="0"/>
      <w:divBdr>
        <w:top w:val="none" w:sz="0" w:space="0" w:color="auto"/>
        <w:left w:val="none" w:sz="0" w:space="0" w:color="auto"/>
        <w:bottom w:val="none" w:sz="0" w:space="0" w:color="auto"/>
        <w:right w:val="none" w:sz="0" w:space="0" w:color="auto"/>
      </w:divBdr>
    </w:div>
    <w:div w:id="1037778307">
      <w:bodyDiv w:val="1"/>
      <w:marLeft w:val="0"/>
      <w:marRight w:val="0"/>
      <w:marTop w:val="0"/>
      <w:marBottom w:val="0"/>
      <w:divBdr>
        <w:top w:val="none" w:sz="0" w:space="0" w:color="auto"/>
        <w:left w:val="none" w:sz="0" w:space="0" w:color="auto"/>
        <w:bottom w:val="none" w:sz="0" w:space="0" w:color="auto"/>
        <w:right w:val="none" w:sz="0" w:space="0" w:color="auto"/>
      </w:divBdr>
    </w:div>
    <w:div w:id="1056969746">
      <w:bodyDiv w:val="1"/>
      <w:marLeft w:val="0"/>
      <w:marRight w:val="0"/>
      <w:marTop w:val="0"/>
      <w:marBottom w:val="0"/>
      <w:divBdr>
        <w:top w:val="none" w:sz="0" w:space="0" w:color="auto"/>
        <w:left w:val="none" w:sz="0" w:space="0" w:color="auto"/>
        <w:bottom w:val="none" w:sz="0" w:space="0" w:color="auto"/>
        <w:right w:val="none" w:sz="0" w:space="0" w:color="auto"/>
      </w:divBdr>
    </w:div>
    <w:div w:id="1308167806">
      <w:bodyDiv w:val="1"/>
      <w:marLeft w:val="0"/>
      <w:marRight w:val="0"/>
      <w:marTop w:val="0"/>
      <w:marBottom w:val="0"/>
      <w:divBdr>
        <w:top w:val="none" w:sz="0" w:space="0" w:color="auto"/>
        <w:left w:val="none" w:sz="0" w:space="0" w:color="auto"/>
        <w:bottom w:val="none" w:sz="0" w:space="0" w:color="auto"/>
        <w:right w:val="none" w:sz="0" w:space="0" w:color="auto"/>
      </w:divBdr>
    </w:div>
    <w:div w:id="1321814848">
      <w:bodyDiv w:val="1"/>
      <w:marLeft w:val="0"/>
      <w:marRight w:val="0"/>
      <w:marTop w:val="0"/>
      <w:marBottom w:val="0"/>
      <w:divBdr>
        <w:top w:val="none" w:sz="0" w:space="0" w:color="auto"/>
        <w:left w:val="none" w:sz="0" w:space="0" w:color="auto"/>
        <w:bottom w:val="none" w:sz="0" w:space="0" w:color="auto"/>
        <w:right w:val="none" w:sz="0" w:space="0" w:color="auto"/>
      </w:divBdr>
    </w:div>
    <w:div w:id="1402557465">
      <w:bodyDiv w:val="1"/>
      <w:marLeft w:val="0"/>
      <w:marRight w:val="0"/>
      <w:marTop w:val="0"/>
      <w:marBottom w:val="0"/>
      <w:divBdr>
        <w:top w:val="none" w:sz="0" w:space="0" w:color="auto"/>
        <w:left w:val="none" w:sz="0" w:space="0" w:color="auto"/>
        <w:bottom w:val="none" w:sz="0" w:space="0" w:color="auto"/>
        <w:right w:val="none" w:sz="0" w:space="0" w:color="auto"/>
      </w:divBdr>
    </w:div>
    <w:div w:id="1544824597">
      <w:bodyDiv w:val="1"/>
      <w:marLeft w:val="0"/>
      <w:marRight w:val="0"/>
      <w:marTop w:val="0"/>
      <w:marBottom w:val="0"/>
      <w:divBdr>
        <w:top w:val="none" w:sz="0" w:space="0" w:color="auto"/>
        <w:left w:val="none" w:sz="0" w:space="0" w:color="auto"/>
        <w:bottom w:val="none" w:sz="0" w:space="0" w:color="auto"/>
        <w:right w:val="none" w:sz="0" w:space="0" w:color="auto"/>
      </w:divBdr>
    </w:div>
    <w:div w:id="18706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9215361237740019E-2"/>
          <c:y val="8.0454732315087124E-2"/>
          <c:w val="0.64649951650780491"/>
          <c:h val="0.87345349903551217"/>
        </c:manualLayout>
      </c:layout>
      <c:pie3DChart>
        <c:varyColors val="1"/>
        <c:ser>
          <c:idx val="0"/>
          <c:order val="0"/>
          <c:dPt>
            <c:idx val="0"/>
            <c:bubble3D val="0"/>
          </c:dPt>
          <c:dPt>
            <c:idx val="1"/>
            <c:bubble3D val="0"/>
          </c:dPt>
          <c:dPt>
            <c:idx val="2"/>
            <c:bubble3D val="0"/>
          </c:dPt>
          <c:dLbls>
            <c:showLegendKey val="0"/>
            <c:showVal val="1"/>
            <c:showCatName val="0"/>
            <c:showSerName val="0"/>
            <c:showPercent val="0"/>
            <c:showBubbleSize val="0"/>
            <c:showLeaderLines val="1"/>
          </c:dLbls>
          <c:cat>
            <c:strRef>
              <c:f>'[2018年4月30日资产汇总表.xls]2018年4月'!$A$164:$A$166</c:f>
              <c:strCache>
                <c:ptCount val="3"/>
                <c:pt idx="0">
                  <c:v>现金及债券类</c:v>
                </c:pt>
                <c:pt idx="1">
                  <c:v>融资类</c:v>
                </c:pt>
                <c:pt idx="2">
                  <c:v>其他</c:v>
                </c:pt>
              </c:strCache>
            </c:strRef>
          </c:cat>
          <c:val>
            <c:numRef>
              <c:f>'[2018年4月30日资产汇总表.xls]2018年4月'!$B$164:$B$166</c:f>
              <c:numCache>
                <c:formatCode>0.00%</c:formatCode>
                <c:ptCount val="3"/>
                <c:pt idx="0">
                  <c:v>8.9716100398403317E-2</c:v>
                </c:pt>
                <c:pt idx="1">
                  <c:v>0.61415201013687371</c:v>
                </c:pt>
                <c:pt idx="2">
                  <c:v>0.29613188946385455</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2461182483768471"/>
          <c:y val="0.31123675805584544"/>
          <c:w val="0.27538817516231523"/>
          <c:h val="0.37752585143724504"/>
        </c:manualLayout>
      </c:layout>
      <c:overlay val="0"/>
      <c:txPr>
        <a:bodyPr/>
        <a:lstStyle/>
        <a:p>
          <a:pPr>
            <a:defRPr sz="800" baseline="0"/>
          </a:pPr>
          <a:endParaRPr lang="zh-CN"/>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'[2018年4月30日资产汇总表.xls]2018年4月'!$A$174:$A$176</c:f>
              <c:strCache>
                <c:ptCount val="3"/>
                <c:pt idx="0">
                  <c:v>AA-</c:v>
                </c:pt>
                <c:pt idx="1">
                  <c:v>AA</c:v>
                </c:pt>
                <c:pt idx="2">
                  <c:v>A</c:v>
                </c:pt>
              </c:strCache>
            </c:strRef>
          </c:cat>
          <c:val>
            <c:numRef>
              <c:f>'[2018年4月30日资产汇总表.xls]2018年4月'!$B$174:$B$176</c:f>
              <c:numCache>
                <c:formatCode>0.00%</c:formatCode>
                <c:ptCount val="3"/>
                <c:pt idx="0">
                  <c:v>0.16211228146017442</c:v>
                </c:pt>
                <c:pt idx="1">
                  <c:v>0.75475321522691563</c:v>
                </c:pt>
                <c:pt idx="2">
                  <c:v>8.313450331290996E-2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6325558361808554"/>
          <c:y val="0.30618788036110872"/>
          <c:w val="0.15016424833688236"/>
          <c:h val="0.327292549969715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447506561679791"/>
          <c:y val="0.13547098279381745"/>
          <c:w val="0.64018401129461711"/>
          <c:h val="0.67739012489210659"/>
        </c:manualLayout>
      </c:layout>
      <c:barChart>
        <c:barDir val="bar"/>
        <c:grouping val="clustered"/>
        <c:varyColors val="0"/>
        <c:ser>
          <c:idx val="0"/>
          <c:order val="0"/>
          <c:tx>
            <c:strRef>
              <c:f>'[2018年4月30日资产汇总表.xls]2018年4月'!$B$180</c:f>
              <c:strCache>
                <c:ptCount val="1"/>
                <c:pt idx="0">
                  <c:v>4月各行业</c:v>
                </c:pt>
              </c:strCache>
            </c:strRef>
          </c:tx>
          <c:invertIfNegative val="0"/>
          <c:cat>
            <c:strRef>
              <c:f>'[2018年4月30日资产汇总表.xls]2018年4月'!$A$181:$A$184</c:f>
              <c:strCache>
                <c:ptCount val="4"/>
                <c:pt idx="0">
                  <c:v>电力、热力、燃气及水生产和供应业</c:v>
                </c:pt>
                <c:pt idx="1">
                  <c:v>水利、环境和公共设施管理业</c:v>
                </c:pt>
                <c:pt idx="2">
                  <c:v>租赁和商务服务业</c:v>
                </c:pt>
                <c:pt idx="3">
                  <c:v>科学研究、技术服务和地质勘查业</c:v>
                </c:pt>
              </c:strCache>
            </c:strRef>
          </c:cat>
          <c:val>
            <c:numRef>
              <c:f>'[2018年4月30日资产汇总表.xls]2018年4月'!$B$181:$B$184</c:f>
              <c:numCache>
                <c:formatCode>0.00%</c:formatCode>
                <c:ptCount val="4"/>
                <c:pt idx="0">
                  <c:v>8.313450331290996E-2</c:v>
                </c:pt>
                <c:pt idx="1">
                  <c:v>1.6626900662581993E-2</c:v>
                </c:pt>
                <c:pt idx="2">
                  <c:v>0.85867134436805304</c:v>
                </c:pt>
                <c:pt idx="3">
                  <c:v>4.156725165645498E-2</c:v>
                </c:pt>
              </c:numCache>
            </c:numRef>
          </c:val>
        </c:ser>
        <c:ser>
          <c:idx val="1"/>
          <c:order val="1"/>
          <c:tx>
            <c:strRef>
              <c:f>'[2018年4月30日资产汇总表.xls]2018年4月'!$C$180</c:f>
              <c:strCache>
                <c:ptCount val="1"/>
                <c:pt idx="0">
                  <c:v>3月各行业</c:v>
                </c:pt>
              </c:strCache>
            </c:strRef>
          </c:tx>
          <c:invertIfNegative val="0"/>
          <c:cat>
            <c:strRef>
              <c:f>'[2018年4月30日资产汇总表.xls]2018年4月'!$A$181:$A$184</c:f>
              <c:strCache>
                <c:ptCount val="4"/>
                <c:pt idx="0">
                  <c:v>电力、热力、燃气及水生产和供应业</c:v>
                </c:pt>
                <c:pt idx="1">
                  <c:v>水利、环境和公共设施管理业</c:v>
                </c:pt>
                <c:pt idx="2">
                  <c:v>租赁和商务服务业</c:v>
                </c:pt>
                <c:pt idx="3">
                  <c:v>科学研究、技术服务和地质勘查业</c:v>
                </c:pt>
              </c:strCache>
            </c:strRef>
          </c:cat>
          <c:val>
            <c:numRef>
              <c:f>'[2018年4月30日资产汇总表.xls]2018年4月'!$C$181:$C$184</c:f>
              <c:numCache>
                <c:formatCode>0.00%</c:formatCode>
                <c:ptCount val="4"/>
                <c:pt idx="0">
                  <c:v>0</c:v>
                </c:pt>
                <c:pt idx="1">
                  <c:v>2.7881170451535556E-2</c:v>
                </c:pt>
                <c:pt idx="2">
                  <c:v>0.9721188295484644</c:v>
                </c:pt>
                <c:pt idx="3">
                  <c:v>0</c:v>
                </c:pt>
              </c:numCache>
            </c:numRef>
          </c:val>
        </c:ser>
        <c:ser>
          <c:idx val="2"/>
          <c:order val="2"/>
          <c:tx>
            <c:strRef>
              <c:f>'[2018年4月30日资产汇总表.xls]2018年4月'!$D$180</c:f>
              <c:strCache>
                <c:ptCount val="1"/>
                <c:pt idx="0">
                  <c:v>行业变化</c:v>
                </c:pt>
              </c:strCache>
            </c:strRef>
          </c:tx>
          <c:invertIfNegative val="0"/>
          <c:cat>
            <c:strRef>
              <c:f>'[2018年4月30日资产汇总表.xls]2018年4月'!$A$181:$A$184</c:f>
              <c:strCache>
                <c:ptCount val="4"/>
                <c:pt idx="0">
                  <c:v>电力、热力、燃气及水生产和供应业</c:v>
                </c:pt>
                <c:pt idx="1">
                  <c:v>水利、环境和公共设施管理业</c:v>
                </c:pt>
                <c:pt idx="2">
                  <c:v>租赁和商务服务业</c:v>
                </c:pt>
                <c:pt idx="3">
                  <c:v>科学研究、技术服务和地质勘查业</c:v>
                </c:pt>
              </c:strCache>
            </c:strRef>
          </c:cat>
          <c:val>
            <c:numRef>
              <c:f>'[2018年4月30日资产汇总表.xls]2018年4月'!$D$181:$D$184</c:f>
              <c:numCache>
                <c:formatCode>0.00%</c:formatCode>
                <c:ptCount val="4"/>
                <c:pt idx="0">
                  <c:v>8.313450331290996E-2</c:v>
                </c:pt>
                <c:pt idx="1">
                  <c:v>-1.1254269788953563E-2</c:v>
                </c:pt>
                <c:pt idx="2">
                  <c:v>-0.11344748518041137</c:v>
                </c:pt>
                <c:pt idx="3">
                  <c:v>4.156725165645498E-2</c:v>
                </c:pt>
              </c:numCache>
            </c:numRef>
          </c:val>
        </c:ser>
        <c:dLbls>
          <c:showLegendKey val="0"/>
          <c:showVal val="0"/>
          <c:showCatName val="0"/>
          <c:showSerName val="0"/>
          <c:showPercent val="0"/>
          <c:showBubbleSize val="0"/>
        </c:dLbls>
        <c:gapWidth val="150"/>
        <c:axId val="120217984"/>
        <c:axId val="120219520"/>
      </c:barChart>
      <c:catAx>
        <c:axId val="120217984"/>
        <c:scaling>
          <c:orientation val="minMax"/>
        </c:scaling>
        <c:delete val="0"/>
        <c:axPos val="l"/>
        <c:numFmt formatCode="General" sourceLinked="1"/>
        <c:majorTickMark val="out"/>
        <c:minorTickMark val="none"/>
        <c:tickLblPos val="nextTo"/>
        <c:crossAx val="120219520"/>
        <c:crosses val="autoZero"/>
        <c:auto val="1"/>
        <c:lblAlgn val="ctr"/>
        <c:lblOffset val="100"/>
        <c:noMultiLvlLbl val="0"/>
      </c:catAx>
      <c:valAx>
        <c:axId val="120219520"/>
        <c:scaling>
          <c:orientation val="minMax"/>
          <c:max val="1"/>
          <c:min val="-0.2"/>
        </c:scaling>
        <c:delete val="0"/>
        <c:axPos val="b"/>
        <c:majorGridlines/>
        <c:numFmt formatCode="0%" sourceLinked="0"/>
        <c:majorTickMark val="out"/>
        <c:minorTickMark val="none"/>
        <c:tickLblPos val="nextTo"/>
        <c:crossAx val="120217984"/>
        <c:crosses val="autoZero"/>
        <c:crossBetween val="between"/>
        <c:majorUnit val="0.1"/>
      </c:valAx>
    </c:plotArea>
    <c:legend>
      <c:legendPos val="r"/>
      <c:layout>
        <c:manualLayout>
          <c:xMode val="edge"/>
          <c:yMode val="edge"/>
          <c:x val="0.86308425076268225"/>
          <c:y val="0.40278215223097114"/>
          <c:w val="0.12670645878300435"/>
          <c:h val="0.4018425196850393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2018-05-03T11:45:00Z</dcterms:created>
  <dcterms:modified xsi:type="dcterms:W3CDTF">2018-05-03T11:45:00Z</dcterms:modified>
</cp:coreProperties>
</file>